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BF" w:rsidRPr="00F836FA" w:rsidRDefault="00CB51BF" w:rsidP="00CB51BF">
      <w:pPr>
        <w:jc w:val="center"/>
        <w:rPr>
          <w:b/>
          <w:sz w:val="28"/>
          <w:szCs w:val="28"/>
          <w:lang w:val="nl-NL"/>
        </w:rPr>
      </w:pPr>
      <w:r w:rsidRPr="00F836FA">
        <w:rPr>
          <w:b/>
          <w:sz w:val="28"/>
          <w:szCs w:val="28"/>
          <w:lang w:val="nl-NL"/>
        </w:rPr>
        <w:t>ĐỀ CƯƠNG</w:t>
      </w:r>
    </w:p>
    <w:p w:rsidR="00CB51BF" w:rsidRDefault="00CB51BF" w:rsidP="00CB51BF">
      <w:pPr>
        <w:jc w:val="center"/>
        <w:rPr>
          <w:b/>
          <w:sz w:val="28"/>
          <w:szCs w:val="28"/>
          <w:lang w:val="nl-NL"/>
        </w:rPr>
      </w:pPr>
      <w:r>
        <w:rPr>
          <w:b/>
          <w:sz w:val="28"/>
          <w:szCs w:val="28"/>
          <w:lang w:val="nl-NL"/>
        </w:rPr>
        <w:t xml:space="preserve">Báo cáo theo dõi </w:t>
      </w:r>
      <w:r w:rsidRPr="00F836FA">
        <w:rPr>
          <w:b/>
          <w:sz w:val="28"/>
          <w:szCs w:val="28"/>
          <w:lang w:val="nl-NL"/>
        </w:rPr>
        <w:t xml:space="preserve">thi hành pháp luật </w:t>
      </w:r>
      <w:r>
        <w:rPr>
          <w:b/>
          <w:sz w:val="28"/>
          <w:szCs w:val="28"/>
          <w:lang w:val="nl-NL"/>
        </w:rPr>
        <w:t>trong lĩnh vực trọng tâm, liên ngành</w:t>
      </w:r>
      <w:r>
        <w:rPr>
          <w:rStyle w:val="ThamchiuCcchu"/>
          <w:b/>
          <w:sz w:val="28"/>
          <w:szCs w:val="28"/>
          <w:lang w:val="nl-NL"/>
        </w:rPr>
        <w:footnoteReference w:id="1"/>
      </w:r>
    </w:p>
    <w:p w:rsidR="00CB51BF" w:rsidRPr="008A055C" w:rsidRDefault="00CB51BF" w:rsidP="00CB51BF">
      <w:pPr>
        <w:spacing w:before="120" w:line="360" w:lineRule="exact"/>
        <w:jc w:val="center"/>
        <w:rPr>
          <w:i/>
          <w:sz w:val="28"/>
          <w:szCs w:val="28"/>
          <w:lang w:val="nl-NL"/>
        </w:rPr>
      </w:pPr>
      <w:r>
        <w:rPr>
          <w:i/>
          <w:sz w:val="28"/>
          <w:szCs w:val="28"/>
          <w:lang w:val="nl-NL"/>
        </w:rPr>
        <w:t>(Kèm theo Công văn số 2991</w:t>
      </w:r>
      <w:r w:rsidRPr="00410CA0">
        <w:rPr>
          <w:rFonts w:eastAsia="MS Mincho"/>
          <w:i/>
          <w:sz w:val="28"/>
          <w:szCs w:val="28"/>
          <w:lang w:val="nl-NL" w:eastAsia="ja-JP"/>
        </w:rPr>
        <w:t>/BTP-</w:t>
      </w:r>
      <w:r w:rsidRPr="00410CA0">
        <w:rPr>
          <w:i/>
          <w:sz w:val="28"/>
          <w:szCs w:val="28"/>
          <w:lang w:val="nl-NL"/>
        </w:rPr>
        <w:t xml:space="preserve">QLXLVPHC&amp;TDTHPL ngày 22/8   /2017 của Bộ Tư pháp về việc </w:t>
      </w:r>
      <w:r w:rsidRPr="00410CA0">
        <w:rPr>
          <w:i/>
          <w:spacing w:val="4"/>
          <w:sz w:val="28"/>
          <w:szCs w:val="28"/>
          <w:lang w:val="nl-NL"/>
        </w:rPr>
        <w:t>xây dựng Báo cáo theo dõi thi hành pháp luật trong lĩnh vực trọng tâm, liên ngành năm 2017</w:t>
      </w:r>
      <w:r w:rsidRPr="008A055C">
        <w:rPr>
          <w:i/>
          <w:sz w:val="28"/>
          <w:szCs w:val="28"/>
          <w:lang w:val="nl-NL"/>
        </w:rPr>
        <w:t>)</w:t>
      </w:r>
    </w:p>
    <w:p w:rsidR="00CB51BF" w:rsidRDefault="00410CA0" w:rsidP="00CB51BF">
      <w:pPr>
        <w:spacing w:before="120" w:line="360" w:lineRule="exact"/>
        <w:ind w:firstLine="720"/>
        <w:jc w:val="center"/>
        <w:rPr>
          <w:b/>
          <w:sz w:val="28"/>
          <w:szCs w:val="28"/>
          <w:lang w:val="nl-NL"/>
        </w:rPr>
      </w:pPr>
      <w:r>
        <w:rPr>
          <w:b/>
          <w:noProof/>
          <w:sz w:val="28"/>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1933575</wp:posOffset>
                </wp:positionH>
                <wp:positionV relativeFrom="paragraph">
                  <wp:posOffset>133985</wp:posOffset>
                </wp:positionV>
                <wp:extent cx="1638300" cy="0"/>
                <wp:effectExtent l="17145" t="13970" r="11430"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E093"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0.55pt" to="281.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9hGAIAADMEAAAOAAAAZHJzL2Uyb0RvYy54bWysU02P2yAQvVfqf0DcE9uJN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" strokeweight="1.5pt"/>
            </w:pict>
          </mc:Fallback>
        </mc:AlternateContent>
      </w:r>
    </w:p>
    <w:p w:rsidR="00CB51BF" w:rsidRPr="00410CA0" w:rsidRDefault="00CB51BF" w:rsidP="00410CA0">
      <w:pPr>
        <w:spacing w:before="120" w:after="120" w:line="360" w:lineRule="exact"/>
        <w:ind w:firstLine="567"/>
        <w:jc w:val="both"/>
        <w:rPr>
          <w:b/>
          <w:sz w:val="28"/>
          <w:szCs w:val="28"/>
          <w:lang w:val="nl-NL"/>
        </w:rPr>
      </w:pPr>
      <w:bookmarkStart w:id="0" w:name="_GoBack"/>
      <w:r w:rsidRPr="00A23EE8">
        <w:rPr>
          <w:b/>
          <w:sz w:val="28"/>
          <w:szCs w:val="28"/>
          <w:lang w:val="vi-VN"/>
        </w:rPr>
        <w:t>I. CÔNG TÁC CHỈ ĐẠO, ĐIỀU HÀNH VÀ TỔ CHỨC TRIỂN KHAI THỰC HIỆN</w:t>
      </w:r>
    </w:p>
    <w:p w:rsidR="00CB51BF" w:rsidRPr="00410CA0" w:rsidRDefault="00CB51BF" w:rsidP="00410CA0">
      <w:pPr>
        <w:spacing w:before="120" w:after="120" w:line="360" w:lineRule="exact"/>
        <w:ind w:firstLine="567"/>
        <w:jc w:val="both"/>
        <w:rPr>
          <w:b/>
          <w:sz w:val="28"/>
          <w:szCs w:val="28"/>
          <w:lang w:val="nl-NL"/>
        </w:rPr>
      </w:pPr>
      <w:r w:rsidRPr="00410CA0">
        <w:rPr>
          <w:b/>
          <w:sz w:val="28"/>
          <w:szCs w:val="28"/>
          <w:lang w:val="nl-NL"/>
        </w:rPr>
        <w:t xml:space="preserve">1. Tình hình tổ chức triển khai thực hiện theo dõi tình hình thi hành pháp luật về hỗ trợ doanh nghiệp khởi nghiệp </w:t>
      </w:r>
    </w:p>
    <w:p w:rsidR="00CB51BF" w:rsidRPr="00410CA0" w:rsidRDefault="00CB51BF" w:rsidP="00410CA0">
      <w:pPr>
        <w:spacing w:before="120" w:after="120" w:line="360" w:lineRule="exact"/>
        <w:ind w:firstLine="567"/>
        <w:jc w:val="both"/>
        <w:rPr>
          <w:sz w:val="28"/>
          <w:szCs w:val="28"/>
          <w:lang w:val="nl-NL"/>
        </w:rPr>
      </w:pPr>
      <w:r w:rsidRPr="00410CA0">
        <w:rPr>
          <w:sz w:val="28"/>
          <w:szCs w:val="28"/>
          <w:lang w:val="nl-NL"/>
        </w:rPr>
        <w:t>- Xây dựng Kế hoạch</w:t>
      </w:r>
    </w:p>
    <w:p w:rsidR="00CB51BF" w:rsidRPr="00410CA0" w:rsidRDefault="00CB51BF" w:rsidP="00410CA0">
      <w:pPr>
        <w:spacing w:before="120" w:after="120" w:line="360" w:lineRule="exact"/>
        <w:ind w:firstLine="567"/>
        <w:jc w:val="both"/>
        <w:rPr>
          <w:sz w:val="28"/>
          <w:szCs w:val="28"/>
          <w:lang w:val="nl-NL"/>
        </w:rPr>
      </w:pPr>
      <w:r w:rsidRPr="00410CA0">
        <w:rPr>
          <w:sz w:val="28"/>
          <w:szCs w:val="28"/>
          <w:lang w:val="nl-NL"/>
        </w:rPr>
        <w:t>- Tổ chức thực hiện Kế hoạch</w:t>
      </w:r>
    </w:p>
    <w:p w:rsidR="00CB51BF" w:rsidRPr="00410CA0" w:rsidRDefault="00CB51BF" w:rsidP="00410CA0">
      <w:pPr>
        <w:spacing w:before="120" w:after="120" w:line="360" w:lineRule="exact"/>
        <w:ind w:firstLine="567"/>
        <w:jc w:val="both"/>
        <w:rPr>
          <w:sz w:val="28"/>
          <w:szCs w:val="28"/>
          <w:lang w:val="nl-NL"/>
        </w:rPr>
      </w:pPr>
      <w:r w:rsidRPr="00410CA0">
        <w:rPr>
          <w:sz w:val="28"/>
          <w:szCs w:val="28"/>
          <w:lang w:val="nl-NL"/>
        </w:rPr>
        <w:t>…</w:t>
      </w:r>
    </w:p>
    <w:p w:rsidR="00CB51BF" w:rsidRPr="00410CA0" w:rsidRDefault="00CB51BF" w:rsidP="00410CA0">
      <w:pPr>
        <w:spacing w:before="120" w:after="120" w:line="360" w:lineRule="exact"/>
        <w:ind w:firstLine="567"/>
        <w:jc w:val="both"/>
        <w:rPr>
          <w:b/>
          <w:sz w:val="28"/>
          <w:szCs w:val="28"/>
          <w:lang w:val="nl-NL"/>
        </w:rPr>
      </w:pPr>
      <w:r w:rsidRPr="00410CA0">
        <w:rPr>
          <w:b/>
          <w:sz w:val="28"/>
          <w:szCs w:val="28"/>
          <w:lang w:val="nl-NL"/>
        </w:rPr>
        <w:t>2. Tồn tại, hạn chế và nguyên nhân</w:t>
      </w:r>
    </w:p>
    <w:p w:rsidR="00CB51BF" w:rsidRPr="00410CA0" w:rsidRDefault="00CB51BF" w:rsidP="00410CA0">
      <w:pPr>
        <w:spacing w:before="120" w:after="120" w:line="360" w:lineRule="exact"/>
        <w:ind w:firstLine="567"/>
        <w:jc w:val="both"/>
        <w:rPr>
          <w:sz w:val="28"/>
          <w:szCs w:val="28"/>
          <w:lang w:val="nl-NL"/>
        </w:rPr>
      </w:pPr>
      <w:r w:rsidRPr="00410CA0">
        <w:rPr>
          <w:sz w:val="28"/>
          <w:szCs w:val="28"/>
          <w:lang w:val="nl-NL"/>
        </w:rPr>
        <w:t>- Tồn tại, hạn chế</w:t>
      </w:r>
    </w:p>
    <w:p w:rsidR="00CB51BF" w:rsidRPr="00410CA0" w:rsidRDefault="00CB51BF" w:rsidP="00410CA0">
      <w:pPr>
        <w:spacing w:before="120" w:after="120" w:line="360" w:lineRule="exact"/>
        <w:ind w:firstLine="567"/>
        <w:jc w:val="both"/>
        <w:rPr>
          <w:sz w:val="28"/>
          <w:szCs w:val="28"/>
          <w:lang w:val="nl-NL"/>
        </w:rPr>
      </w:pPr>
      <w:r w:rsidRPr="00410CA0">
        <w:rPr>
          <w:sz w:val="28"/>
          <w:szCs w:val="28"/>
          <w:lang w:val="nl-NL"/>
        </w:rPr>
        <w:t>- Nguyên nhân</w:t>
      </w:r>
    </w:p>
    <w:p w:rsidR="00CB51BF" w:rsidRPr="00410CA0" w:rsidRDefault="00CB51BF" w:rsidP="00410CA0">
      <w:pPr>
        <w:spacing w:before="120" w:after="120" w:line="360" w:lineRule="exact"/>
        <w:ind w:firstLine="567"/>
        <w:jc w:val="both"/>
        <w:rPr>
          <w:b/>
          <w:sz w:val="28"/>
          <w:szCs w:val="28"/>
          <w:lang w:val="nl-NL"/>
        </w:rPr>
      </w:pPr>
      <w:r w:rsidRPr="00A23EE8">
        <w:rPr>
          <w:b/>
          <w:sz w:val="28"/>
          <w:szCs w:val="28"/>
          <w:lang w:val="vi-VN"/>
        </w:rPr>
        <w:t xml:space="preserve">II. TÌNH HÌNH THI HÀNH PHÁP LUẬT VỀ </w:t>
      </w:r>
      <w:r w:rsidRPr="00410CA0">
        <w:rPr>
          <w:b/>
          <w:sz w:val="28"/>
          <w:szCs w:val="28"/>
          <w:lang w:val="nl-NL"/>
        </w:rPr>
        <w:t xml:space="preserve">HỖ TRỢ DOANH NGHIỆP KHỞI NGHIỆP </w:t>
      </w:r>
    </w:p>
    <w:p w:rsidR="00CB51BF" w:rsidRPr="00410CA0" w:rsidRDefault="00CB51BF" w:rsidP="00410CA0">
      <w:pPr>
        <w:spacing w:before="120" w:after="120" w:line="360" w:lineRule="exact"/>
        <w:ind w:firstLine="567"/>
        <w:jc w:val="both"/>
        <w:rPr>
          <w:b/>
          <w:sz w:val="28"/>
          <w:szCs w:val="28"/>
          <w:lang w:val="nl-NL"/>
        </w:rPr>
      </w:pPr>
      <w:r w:rsidRPr="00A23EE8">
        <w:rPr>
          <w:b/>
          <w:sz w:val="28"/>
          <w:szCs w:val="28"/>
          <w:lang w:val="vi-VN"/>
        </w:rPr>
        <w:t>1. Tình hình ban hành văn bản quy định chi tiết thi hành, hướng dẫn thi hành</w:t>
      </w:r>
      <w:r w:rsidRPr="00410CA0">
        <w:rPr>
          <w:b/>
          <w:sz w:val="28"/>
          <w:szCs w:val="28"/>
          <w:lang w:val="nl-NL"/>
        </w:rPr>
        <w:t xml:space="preserve"> trong lĩnh vực hỗ trợ doanh nghiệp khởi nghiệp </w:t>
      </w:r>
    </w:p>
    <w:p w:rsidR="00CB51BF" w:rsidRPr="00410CA0" w:rsidRDefault="00CB51BF" w:rsidP="00410CA0">
      <w:pPr>
        <w:widowControl w:val="0"/>
        <w:tabs>
          <w:tab w:val="left" w:pos="2820"/>
        </w:tabs>
        <w:spacing w:before="120" w:after="120" w:line="360" w:lineRule="exact"/>
        <w:ind w:firstLine="567"/>
        <w:jc w:val="both"/>
        <w:rPr>
          <w:sz w:val="28"/>
          <w:szCs w:val="28"/>
          <w:lang w:val="nl-NL"/>
        </w:rPr>
      </w:pPr>
      <w:r w:rsidRPr="002F02DA">
        <w:rPr>
          <w:sz w:val="28"/>
          <w:szCs w:val="28"/>
          <w:lang w:val="vi-VN"/>
        </w:rPr>
        <w:t xml:space="preserve">1.1. </w:t>
      </w:r>
      <w:r w:rsidRPr="005D3436">
        <w:rPr>
          <w:sz w:val="28"/>
          <w:szCs w:val="28"/>
          <w:lang w:val="vi-VN"/>
        </w:rPr>
        <w:t>Đánh giá tính đầy đủ, kịp thời của việc ban hành</w:t>
      </w:r>
      <w:r w:rsidRPr="00410CA0">
        <w:rPr>
          <w:sz w:val="28"/>
          <w:szCs w:val="28"/>
          <w:lang w:val="nl-NL"/>
        </w:rPr>
        <w:t xml:space="preserve"> </w:t>
      </w:r>
      <w:r w:rsidRPr="00410CA0">
        <w:rPr>
          <w:color w:val="000000"/>
          <w:sz w:val="28"/>
          <w:szCs w:val="28"/>
          <w:lang w:val="nl-NL"/>
        </w:rPr>
        <w:t>hoặc trình cơ quan nhà nước có thẩm quyền ban hành chính sách hỗ trợ doanh nghiệp khởi nghiệp</w:t>
      </w:r>
    </w:p>
    <w:p w:rsidR="00CB51BF" w:rsidRPr="002F02DA" w:rsidRDefault="00CB51BF" w:rsidP="00410CA0">
      <w:pPr>
        <w:widowControl w:val="0"/>
        <w:tabs>
          <w:tab w:val="left" w:pos="1560"/>
        </w:tabs>
        <w:spacing w:before="120" w:after="120" w:line="360" w:lineRule="exact"/>
        <w:ind w:firstLine="567"/>
        <w:jc w:val="both"/>
        <w:rPr>
          <w:spacing w:val="2"/>
          <w:sz w:val="28"/>
          <w:szCs w:val="28"/>
          <w:lang w:val="vi-VN"/>
        </w:rPr>
      </w:pPr>
      <w:r w:rsidRPr="002F02DA">
        <w:rPr>
          <w:spacing w:val="2"/>
          <w:sz w:val="28"/>
          <w:szCs w:val="28"/>
          <w:lang w:val="vi-VN"/>
        </w:rPr>
        <w:t>1.2. Tính thống nhất, đồng bộ của văn bản</w:t>
      </w:r>
    </w:p>
    <w:p w:rsidR="00CB51BF" w:rsidRPr="002F02DA" w:rsidRDefault="00CB51BF" w:rsidP="00410CA0">
      <w:pPr>
        <w:widowControl w:val="0"/>
        <w:tabs>
          <w:tab w:val="left" w:pos="1560"/>
        </w:tabs>
        <w:spacing w:before="120" w:after="120" w:line="360" w:lineRule="exact"/>
        <w:ind w:firstLine="567"/>
        <w:jc w:val="both"/>
        <w:rPr>
          <w:spacing w:val="2"/>
          <w:sz w:val="28"/>
          <w:szCs w:val="28"/>
          <w:lang w:val="vi-VN"/>
        </w:rPr>
      </w:pPr>
      <w:r w:rsidRPr="002F02DA">
        <w:rPr>
          <w:spacing w:val="2"/>
          <w:sz w:val="28"/>
          <w:szCs w:val="28"/>
          <w:lang w:val="vi-VN"/>
        </w:rPr>
        <w:t>1.3. Tính khả thi của văn bản</w:t>
      </w:r>
    </w:p>
    <w:p w:rsidR="00CB51BF" w:rsidRPr="00410CA0" w:rsidRDefault="00CB51BF" w:rsidP="00410CA0">
      <w:pPr>
        <w:spacing w:before="120" w:after="120" w:line="360" w:lineRule="exact"/>
        <w:ind w:firstLine="567"/>
        <w:jc w:val="both"/>
        <w:rPr>
          <w:b/>
          <w:sz w:val="28"/>
          <w:szCs w:val="28"/>
          <w:lang w:val="vi-VN"/>
        </w:rPr>
      </w:pPr>
      <w:r w:rsidRPr="00410CA0">
        <w:rPr>
          <w:b/>
          <w:sz w:val="28"/>
          <w:szCs w:val="28"/>
          <w:lang w:val="vi-VN"/>
        </w:rPr>
        <w:t>2. Tình hình bảo đảm các điều kiện cho thi hành pháp luật</w:t>
      </w:r>
    </w:p>
    <w:p w:rsidR="00CB51BF" w:rsidRPr="00A23EE8" w:rsidRDefault="00CB51BF" w:rsidP="00410CA0">
      <w:pPr>
        <w:spacing w:before="120" w:after="120" w:line="360" w:lineRule="exact"/>
        <w:ind w:firstLine="567"/>
        <w:jc w:val="both"/>
        <w:rPr>
          <w:sz w:val="28"/>
          <w:szCs w:val="28"/>
          <w:lang w:val="vi-VN"/>
        </w:rPr>
      </w:pPr>
      <w:r>
        <w:rPr>
          <w:b/>
          <w:sz w:val="28"/>
          <w:szCs w:val="28"/>
        </w:rPr>
        <w:lastRenderedPageBreak/>
        <w:t>2.1</w:t>
      </w:r>
      <w:r w:rsidRPr="00A23EE8">
        <w:rPr>
          <w:b/>
          <w:sz w:val="28"/>
          <w:szCs w:val="28"/>
          <w:lang w:val="vi-VN"/>
        </w:rPr>
        <w:t>. Tuyên truyền, phổ biến</w:t>
      </w:r>
      <w:r>
        <w:rPr>
          <w:b/>
          <w:sz w:val="28"/>
          <w:szCs w:val="28"/>
        </w:rPr>
        <w:t xml:space="preserve"> và tập huấn</w:t>
      </w:r>
      <w:r w:rsidRPr="00A23EE8">
        <w:rPr>
          <w:b/>
          <w:sz w:val="28"/>
          <w:szCs w:val="28"/>
          <w:lang w:val="vi-VN"/>
        </w:rPr>
        <w:t xml:space="preserve"> các quy định của pháp luật về </w:t>
      </w:r>
      <w:r>
        <w:rPr>
          <w:b/>
          <w:sz w:val="28"/>
          <w:szCs w:val="28"/>
        </w:rPr>
        <w:t xml:space="preserve">hỗ trợ doanh nghiệp khởi nghiệp </w:t>
      </w:r>
      <w:r w:rsidRPr="00A23EE8">
        <w:rPr>
          <w:b/>
          <w:sz w:val="28"/>
          <w:szCs w:val="28"/>
          <w:lang w:val="vi-VN"/>
        </w:rPr>
        <w:t xml:space="preserve"> </w:t>
      </w:r>
    </w:p>
    <w:p w:rsidR="00CB51BF" w:rsidRPr="00410CA0" w:rsidRDefault="00CB51BF" w:rsidP="00410CA0">
      <w:pPr>
        <w:spacing w:before="120" w:after="120" w:line="360" w:lineRule="exact"/>
        <w:ind w:firstLine="567"/>
        <w:jc w:val="both"/>
        <w:rPr>
          <w:color w:val="000000"/>
          <w:sz w:val="28"/>
          <w:szCs w:val="28"/>
          <w:lang w:val="vi-VN"/>
        </w:rPr>
      </w:pPr>
      <w:r w:rsidRPr="00A23EE8">
        <w:rPr>
          <w:color w:val="000000"/>
          <w:sz w:val="28"/>
          <w:szCs w:val="28"/>
          <w:lang w:val="vi-VN"/>
        </w:rPr>
        <w:t>- Đánh giá tính đầy đủ, kịp thời, phù hợp của hoạt động tập huấn, phổ biến pháp luật; tác động của công tác tập huấn, phổ biến pháp luật đến ý thức tuân thủ và mức độ nâng cao nhận thức pháp luật của</w:t>
      </w:r>
      <w:r>
        <w:rPr>
          <w:color w:val="000000"/>
          <w:sz w:val="28"/>
          <w:szCs w:val="28"/>
          <w:lang w:val="vi-VN"/>
        </w:rPr>
        <w:t xml:space="preserve"> các cơ quan, tổ chức, công dân</w:t>
      </w:r>
      <w:r w:rsidRPr="00A23EE8">
        <w:rPr>
          <w:color w:val="000000"/>
          <w:sz w:val="28"/>
          <w:szCs w:val="28"/>
          <w:lang w:val="vi-VN"/>
        </w:rPr>
        <w:t>.</w:t>
      </w:r>
    </w:p>
    <w:p w:rsidR="00CB51BF" w:rsidRPr="00410CA0" w:rsidRDefault="00CB51BF" w:rsidP="00410CA0">
      <w:pPr>
        <w:spacing w:before="120" w:after="120" w:line="360" w:lineRule="exact"/>
        <w:ind w:firstLine="567"/>
        <w:jc w:val="both"/>
        <w:rPr>
          <w:b/>
          <w:sz w:val="28"/>
          <w:szCs w:val="28"/>
          <w:lang w:val="vi-VN"/>
        </w:rPr>
      </w:pPr>
      <w:r w:rsidRPr="00410CA0">
        <w:rPr>
          <w:b/>
          <w:sz w:val="28"/>
          <w:szCs w:val="28"/>
          <w:lang w:val="vi-VN"/>
        </w:rPr>
        <w:t>2.2</w:t>
      </w:r>
      <w:r w:rsidRPr="00A23EE8">
        <w:rPr>
          <w:b/>
          <w:sz w:val="28"/>
          <w:szCs w:val="28"/>
          <w:lang w:val="vi-VN"/>
        </w:rPr>
        <w:t xml:space="preserve">. Bảo đảm nguồn lực </w:t>
      </w:r>
      <w:r w:rsidRPr="00410CA0">
        <w:rPr>
          <w:b/>
          <w:sz w:val="28"/>
          <w:szCs w:val="28"/>
          <w:lang w:val="vi-VN"/>
        </w:rPr>
        <w:t>để</w:t>
      </w:r>
      <w:r w:rsidRPr="00A23EE8">
        <w:rPr>
          <w:b/>
          <w:sz w:val="28"/>
          <w:szCs w:val="28"/>
          <w:lang w:val="vi-VN"/>
        </w:rPr>
        <w:t xml:space="preserve"> thi hành các quy định của pháp luật </w:t>
      </w:r>
      <w:r w:rsidRPr="00410CA0">
        <w:rPr>
          <w:b/>
          <w:sz w:val="28"/>
          <w:szCs w:val="28"/>
          <w:lang w:val="vi-VN"/>
        </w:rPr>
        <w:t xml:space="preserve">về hỗ trợ doanh nghiệp khởi nghiệp </w:t>
      </w:r>
    </w:p>
    <w:p w:rsidR="00CB51BF" w:rsidRPr="00410CA0" w:rsidRDefault="00CB51BF" w:rsidP="00410CA0">
      <w:pPr>
        <w:spacing w:before="120" w:after="120" w:line="360" w:lineRule="exact"/>
        <w:ind w:firstLine="567"/>
        <w:jc w:val="both"/>
        <w:rPr>
          <w:color w:val="000000"/>
          <w:sz w:val="28"/>
          <w:szCs w:val="28"/>
          <w:lang w:val="vi-VN"/>
        </w:rPr>
      </w:pPr>
      <w:r w:rsidRPr="00A23EE8">
        <w:rPr>
          <w:color w:val="000000"/>
          <w:sz w:val="28"/>
          <w:szCs w:val="28"/>
          <w:lang w:val="vi-VN"/>
        </w:rPr>
        <w:t xml:space="preserve">- </w:t>
      </w:r>
      <w:r w:rsidRPr="00410CA0">
        <w:rPr>
          <w:color w:val="000000"/>
          <w:sz w:val="28"/>
          <w:szCs w:val="28"/>
          <w:lang w:val="vi-VN"/>
        </w:rPr>
        <w:t>Đ</w:t>
      </w:r>
      <w:r w:rsidRPr="00A23EE8">
        <w:rPr>
          <w:color w:val="000000"/>
          <w:sz w:val="28"/>
          <w:szCs w:val="28"/>
          <w:lang w:val="vi-VN"/>
        </w:rPr>
        <w:t>ánh giá về sự phù hợp của tổ chức bộ máy, mức độ đáp ứng về nguồn nhân lực, kiến nghị việc bảo đảm về tổ chức, biên chế và nguồn nhân lực</w:t>
      </w:r>
      <w:r w:rsidRPr="00410CA0">
        <w:rPr>
          <w:color w:val="000000"/>
          <w:sz w:val="28"/>
          <w:szCs w:val="28"/>
          <w:lang w:val="vi-VN"/>
        </w:rPr>
        <w:t xml:space="preserve"> về hỗ trợ doanh nghiệp</w:t>
      </w:r>
      <w:r w:rsidRPr="00A23EE8">
        <w:rPr>
          <w:color w:val="000000"/>
          <w:sz w:val="28"/>
          <w:szCs w:val="28"/>
          <w:lang w:val="vi-VN"/>
        </w:rPr>
        <w:t>.</w:t>
      </w:r>
    </w:p>
    <w:p w:rsidR="00CB51BF" w:rsidRPr="00410CA0" w:rsidRDefault="00CB51BF" w:rsidP="00410CA0">
      <w:pPr>
        <w:spacing w:before="120" w:after="120" w:line="360" w:lineRule="exact"/>
        <w:ind w:firstLine="567"/>
        <w:jc w:val="both"/>
        <w:rPr>
          <w:color w:val="000000"/>
          <w:spacing w:val="-4"/>
          <w:sz w:val="28"/>
          <w:szCs w:val="28"/>
          <w:lang w:val="vi-VN"/>
        </w:rPr>
      </w:pPr>
      <w:r w:rsidRPr="00A23EE8">
        <w:rPr>
          <w:sz w:val="28"/>
          <w:szCs w:val="28"/>
          <w:lang w:val="vi-VN"/>
        </w:rPr>
        <w:t xml:space="preserve">- </w:t>
      </w:r>
      <w:r w:rsidRPr="00410CA0">
        <w:rPr>
          <w:sz w:val="28"/>
          <w:szCs w:val="28"/>
          <w:lang w:val="vi-VN"/>
        </w:rPr>
        <w:t>Đánh giá về việc</w:t>
      </w:r>
      <w:r w:rsidRPr="00410CA0">
        <w:rPr>
          <w:rFonts w:ascii="Arial" w:hAnsi="Arial" w:cs="Arial"/>
          <w:color w:val="000000"/>
          <w:sz w:val="18"/>
          <w:szCs w:val="18"/>
          <w:lang w:val="vi-VN"/>
        </w:rPr>
        <w:t xml:space="preserve"> </w:t>
      </w:r>
      <w:r w:rsidRPr="00410CA0">
        <w:rPr>
          <w:color w:val="000000"/>
          <w:sz w:val="28"/>
          <w:szCs w:val="28"/>
          <w:lang w:val="vi-VN"/>
        </w:rPr>
        <w:t>ưu tiên bố trí nguồn lực để hỗ trợ doanh nghiệp khởi nghiệp</w:t>
      </w:r>
      <w:r w:rsidRPr="00410CA0">
        <w:rPr>
          <w:sz w:val="28"/>
          <w:szCs w:val="28"/>
          <w:lang w:val="vi-VN"/>
        </w:rPr>
        <w:t xml:space="preserve"> (việc bố trí, quản lý các loại Quỹ hỗ trợ doanh nghiệp (nếu có)).</w:t>
      </w:r>
    </w:p>
    <w:p w:rsidR="00CB51BF" w:rsidRPr="00410CA0" w:rsidRDefault="00CB51BF" w:rsidP="00410CA0">
      <w:pPr>
        <w:widowControl w:val="0"/>
        <w:tabs>
          <w:tab w:val="left" w:pos="2820"/>
        </w:tabs>
        <w:spacing w:before="120" w:after="120" w:line="360" w:lineRule="exact"/>
        <w:ind w:firstLine="567"/>
        <w:jc w:val="both"/>
        <w:rPr>
          <w:b/>
          <w:sz w:val="28"/>
          <w:szCs w:val="28"/>
          <w:lang w:val="vi-VN"/>
        </w:rPr>
      </w:pPr>
      <w:r w:rsidRPr="00410CA0">
        <w:rPr>
          <w:b/>
          <w:sz w:val="28"/>
          <w:szCs w:val="28"/>
          <w:lang w:val="vi-VN"/>
        </w:rPr>
        <w:t>3</w:t>
      </w:r>
      <w:r w:rsidRPr="00A23EE8">
        <w:rPr>
          <w:b/>
          <w:sz w:val="28"/>
          <w:szCs w:val="28"/>
          <w:lang w:val="vi-VN"/>
        </w:rPr>
        <w:t xml:space="preserve">. Đánh giá việc tuân thủ các quy định của </w:t>
      </w:r>
      <w:r w:rsidRPr="003373CA">
        <w:rPr>
          <w:b/>
          <w:sz w:val="28"/>
          <w:szCs w:val="28"/>
          <w:lang w:val="vi-VN"/>
        </w:rPr>
        <w:t xml:space="preserve">pháp </w:t>
      </w:r>
      <w:r w:rsidRPr="00A23EE8">
        <w:rPr>
          <w:b/>
          <w:sz w:val="28"/>
          <w:szCs w:val="28"/>
          <w:lang w:val="vi-VN"/>
        </w:rPr>
        <w:t>luật</w:t>
      </w:r>
      <w:r w:rsidRPr="003373CA">
        <w:rPr>
          <w:b/>
          <w:sz w:val="28"/>
          <w:szCs w:val="28"/>
          <w:lang w:val="vi-VN"/>
        </w:rPr>
        <w:t xml:space="preserve"> về </w:t>
      </w:r>
      <w:r w:rsidRPr="00410CA0">
        <w:rPr>
          <w:b/>
          <w:sz w:val="28"/>
          <w:szCs w:val="28"/>
          <w:lang w:val="vi-VN"/>
        </w:rPr>
        <w:t xml:space="preserve">hỗ trợ doanh nghiệp khởi nghiệp </w:t>
      </w:r>
    </w:p>
    <w:p w:rsidR="00CB51BF" w:rsidRPr="00410CA0" w:rsidRDefault="00CB51BF" w:rsidP="00410CA0">
      <w:pPr>
        <w:widowControl w:val="0"/>
        <w:tabs>
          <w:tab w:val="left" w:pos="2820"/>
        </w:tabs>
        <w:spacing w:before="120" w:after="120" w:line="360" w:lineRule="exact"/>
        <w:ind w:firstLine="567"/>
        <w:jc w:val="both"/>
        <w:rPr>
          <w:b/>
          <w:i/>
          <w:spacing w:val="2"/>
          <w:sz w:val="28"/>
          <w:szCs w:val="28"/>
          <w:lang w:val="vi-VN"/>
        </w:rPr>
      </w:pPr>
      <w:r w:rsidRPr="00410CA0">
        <w:rPr>
          <w:b/>
          <w:i/>
          <w:spacing w:val="2"/>
          <w:sz w:val="28"/>
          <w:szCs w:val="28"/>
          <w:lang w:val="vi-VN"/>
        </w:rPr>
        <w:t>3</w:t>
      </w:r>
      <w:r w:rsidRPr="003373CA">
        <w:rPr>
          <w:b/>
          <w:i/>
          <w:spacing w:val="2"/>
          <w:sz w:val="28"/>
          <w:szCs w:val="28"/>
          <w:lang w:val="vi-VN"/>
        </w:rPr>
        <w:t>.1. Đ</w:t>
      </w:r>
      <w:r w:rsidRPr="00A23EE8">
        <w:rPr>
          <w:b/>
          <w:i/>
          <w:spacing w:val="2"/>
          <w:sz w:val="28"/>
          <w:szCs w:val="28"/>
          <w:lang w:val="vi-VN"/>
        </w:rPr>
        <w:t>ánh giá tình hình tuân thủ các quy định của</w:t>
      </w:r>
      <w:r w:rsidRPr="003373CA">
        <w:rPr>
          <w:b/>
          <w:i/>
          <w:spacing w:val="2"/>
          <w:sz w:val="28"/>
          <w:szCs w:val="28"/>
          <w:lang w:val="vi-VN"/>
        </w:rPr>
        <w:t xml:space="preserve"> pháp</w:t>
      </w:r>
      <w:r w:rsidRPr="00A23EE8">
        <w:rPr>
          <w:b/>
          <w:i/>
          <w:spacing w:val="2"/>
          <w:sz w:val="28"/>
          <w:szCs w:val="28"/>
          <w:lang w:val="vi-VN"/>
        </w:rPr>
        <w:t xml:space="preserve"> luật </w:t>
      </w:r>
      <w:r w:rsidRPr="00410CA0">
        <w:rPr>
          <w:b/>
          <w:i/>
          <w:spacing w:val="2"/>
          <w:sz w:val="28"/>
          <w:szCs w:val="28"/>
          <w:lang w:val="vi-VN"/>
        </w:rPr>
        <w:t>về hỗ trợ doanh nghiệp khởi nghiệp, gồm:</w:t>
      </w:r>
    </w:p>
    <w:p w:rsidR="00CB51BF" w:rsidRPr="00410CA0" w:rsidRDefault="00CB51BF" w:rsidP="00410CA0">
      <w:pPr>
        <w:pStyle w:val="ThngthngWeb"/>
        <w:shd w:val="clear" w:color="auto" w:fill="FFFFFF"/>
        <w:spacing w:before="0" w:beforeAutospacing="0" w:after="120" w:afterAutospacing="0" w:line="276" w:lineRule="auto"/>
        <w:ind w:firstLine="567"/>
        <w:jc w:val="both"/>
        <w:rPr>
          <w:color w:val="000000"/>
          <w:sz w:val="28"/>
          <w:szCs w:val="28"/>
          <w:lang w:val="vi-VN"/>
        </w:rPr>
      </w:pPr>
      <w:r w:rsidRPr="00410CA0">
        <w:rPr>
          <w:color w:val="000000"/>
          <w:sz w:val="28"/>
          <w:szCs w:val="28"/>
          <w:lang w:val="vi-VN"/>
        </w:rPr>
        <w:t>- Kết quả tổ chức thực hiện, theo dõi, kiểm tra, đánh giá việc thực hiện hỗ trợ doanh nghiệp khởi nghiệp trong phạm vi lĩnh vực quản lý.</w:t>
      </w:r>
    </w:p>
    <w:p w:rsidR="00CB51BF" w:rsidRPr="00410CA0" w:rsidRDefault="00CB51BF" w:rsidP="00410CA0">
      <w:pPr>
        <w:pStyle w:val="ThngthngWeb"/>
        <w:shd w:val="clear" w:color="auto" w:fill="FFFFFF"/>
        <w:spacing w:before="0" w:beforeAutospacing="0" w:after="120" w:afterAutospacing="0" w:line="276" w:lineRule="auto"/>
        <w:ind w:firstLine="567"/>
        <w:jc w:val="both"/>
        <w:rPr>
          <w:color w:val="000000"/>
          <w:sz w:val="28"/>
          <w:szCs w:val="28"/>
          <w:shd w:val="clear" w:color="auto" w:fill="FFFFFF"/>
          <w:lang w:val="vi-VN"/>
        </w:rPr>
      </w:pPr>
      <w:r w:rsidRPr="00410CA0">
        <w:rPr>
          <w:color w:val="000000"/>
          <w:sz w:val="28"/>
          <w:szCs w:val="28"/>
          <w:shd w:val="clear" w:color="auto" w:fill="FFFFFF"/>
          <w:lang w:val="vi-VN"/>
        </w:rPr>
        <w:t xml:space="preserve">- Tình hình triển khai công tác hỗ trợ pháp lý cho doanh nghiệp theo quy định của Nghị định số 66/2008/NĐ-CP (Vấn đề bồi dưỡng kiến thức pháp luật cho doanh nghiệp; Giải đáp pháp luật cho doanh nghiệp; Tiếp nhận kiến nghị của doanh nghiệp và hoàn thiện pháp luật…) </w:t>
      </w:r>
    </w:p>
    <w:p w:rsidR="00CB51BF" w:rsidRPr="003373CA" w:rsidRDefault="00CB51BF" w:rsidP="00410CA0">
      <w:pPr>
        <w:widowControl w:val="0"/>
        <w:tabs>
          <w:tab w:val="left" w:pos="2820"/>
        </w:tabs>
        <w:spacing w:before="120" w:after="120" w:line="360" w:lineRule="exact"/>
        <w:ind w:firstLine="567"/>
        <w:jc w:val="both"/>
        <w:rPr>
          <w:color w:val="000000"/>
          <w:sz w:val="28"/>
          <w:szCs w:val="28"/>
          <w:lang w:val="vi-VN"/>
        </w:rPr>
      </w:pPr>
      <w:r w:rsidRPr="00A23EE8">
        <w:rPr>
          <w:spacing w:val="2"/>
          <w:sz w:val="28"/>
          <w:szCs w:val="28"/>
          <w:lang w:val="vi-VN"/>
        </w:rPr>
        <w:t>- L</w:t>
      </w:r>
      <w:r w:rsidRPr="00A23EE8">
        <w:rPr>
          <w:color w:val="000000"/>
          <w:sz w:val="28"/>
          <w:szCs w:val="28"/>
          <w:lang w:val="vi-VN"/>
        </w:rPr>
        <w:t xml:space="preserve">ập danh mục các quy định cụ thể trong văn bản quy phạm pháp luật về </w:t>
      </w:r>
      <w:r w:rsidRPr="00410CA0">
        <w:rPr>
          <w:color w:val="000000"/>
          <w:sz w:val="28"/>
          <w:szCs w:val="28"/>
          <w:lang w:val="vi-VN"/>
        </w:rPr>
        <w:t>hỗ trợ doanh nghiệp khởi nghiệp</w:t>
      </w:r>
      <w:r w:rsidRPr="00A23EE8">
        <w:rPr>
          <w:color w:val="000000"/>
          <w:sz w:val="28"/>
          <w:szCs w:val="28"/>
          <w:lang w:val="vi-VN"/>
        </w:rPr>
        <w:t xml:space="preserve"> chưa được cơ quan nhà nước và người có thẩm quyền thi hành kịp thời, đầy đủ và</w:t>
      </w:r>
      <w:r w:rsidRPr="00A23EE8">
        <w:rPr>
          <w:b/>
          <w:color w:val="000000"/>
          <w:sz w:val="28"/>
          <w:szCs w:val="28"/>
          <w:lang w:val="vi-VN"/>
        </w:rPr>
        <w:t xml:space="preserve"> </w:t>
      </w:r>
      <w:r w:rsidRPr="00A23EE8">
        <w:rPr>
          <w:color w:val="000000"/>
          <w:sz w:val="28"/>
          <w:szCs w:val="28"/>
          <w:lang w:val="vi-VN"/>
        </w:rPr>
        <w:t>hướng dẫn chưa chính xác hoặc thiếu thống nhất; các quyết định áp dụng pháp luật do cơ quan nhà nước và người có thẩm quyền ban hành có vi phạm về trình tự, thủ tục, thẩm quyền</w:t>
      </w:r>
      <w:r>
        <w:rPr>
          <w:color w:val="000000"/>
          <w:sz w:val="28"/>
          <w:szCs w:val="28"/>
          <w:lang w:val="vi-VN"/>
        </w:rPr>
        <w:t>, không bảo đảm tính chính xác</w:t>
      </w:r>
      <w:r w:rsidRPr="00A23EE8">
        <w:rPr>
          <w:color w:val="000000"/>
          <w:sz w:val="28"/>
          <w:szCs w:val="28"/>
          <w:lang w:val="vi-VN"/>
        </w:rPr>
        <w:t>.</w:t>
      </w:r>
    </w:p>
    <w:p w:rsidR="00CB51BF" w:rsidRPr="00A23EE8" w:rsidRDefault="00CB51BF" w:rsidP="00410CA0">
      <w:pPr>
        <w:widowControl w:val="0"/>
        <w:tabs>
          <w:tab w:val="left" w:pos="2820"/>
        </w:tabs>
        <w:spacing w:before="120" w:after="120" w:line="360" w:lineRule="exact"/>
        <w:ind w:firstLine="567"/>
        <w:jc w:val="both"/>
        <w:rPr>
          <w:spacing w:val="2"/>
          <w:sz w:val="28"/>
          <w:szCs w:val="28"/>
          <w:lang w:val="vi-VN"/>
        </w:rPr>
      </w:pPr>
      <w:r w:rsidRPr="00A23EE8">
        <w:rPr>
          <w:spacing w:val="2"/>
          <w:sz w:val="28"/>
          <w:szCs w:val="28"/>
          <w:lang w:val="vi-VN"/>
        </w:rPr>
        <w:t>- Đánh giá những nội dung, quy định có vấn đề nổi cộm, có vướng mắc lớn, bao gồm:</w:t>
      </w:r>
    </w:p>
    <w:p w:rsidR="00CB51BF" w:rsidRPr="00A23EE8" w:rsidRDefault="00CB51BF" w:rsidP="00410CA0">
      <w:pPr>
        <w:widowControl w:val="0"/>
        <w:tabs>
          <w:tab w:val="left" w:pos="2820"/>
        </w:tabs>
        <w:spacing w:before="120" w:after="120" w:line="360" w:lineRule="exact"/>
        <w:ind w:firstLine="567"/>
        <w:jc w:val="both"/>
        <w:rPr>
          <w:spacing w:val="2"/>
          <w:sz w:val="28"/>
          <w:szCs w:val="28"/>
          <w:lang w:val="vi-VN"/>
        </w:rPr>
      </w:pPr>
      <w:r w:rsidRPr="00A23EE8">
        <w:rPr>
          <w:spacing w:val="2"/>
          <w:sz w:val="28"/>
          <w:szCs w:val="28"/>
          <w:lang w:val="vi-VN"/>
        </w:rPr>
        <w:t>+ Những nội dung, quy định thiếu tính khả thi, không thể thực hiện trong thực tiễn;</w:t>
      </w:r>
    </w:p>
    <w:p w:rsidR="00CB51BF" w:rsidRPr="00A23EE8" w:rsidRDefault="00CB51BF" w:rsidP="00410CA0">
      <w:pPr>
        <w:widowControl w:val="0"/>
        <w:tabs>
          <w:tab w:val="left" w:pos="2820"/>
        </w:tabs>
        <w:spacing w:before="120" w:after="120" w:line="360" w:lineRule="exact"/>
        <w:ind w:firstLine="567"/>
        <w:jc w:val="both"/>
        <w:rPr>
          <w:spacing w:val="2"/>
          <w:sz w:val="28"/>
          <w:szCs w:val="28"/>
          <w:lang w:val="vi-VN"/>
        </w:rPr>
      </w:pPr>
      <w:r w:rsidRPr="00A23EE8">
        <w:rPr>
          <w:spacing w:val="2"/>
          <w:sz w:val="28"/>
          <w:szCs w:val="28"/>
          <w:lang w:val="vi-VN"/>
        </w:rPr>
        <w:t>+ Những nội dung, quy định không thống nhất, tạo khoảng trống, kẽ hở pháp luật;</w:t>
      </w:r>
    </w:p>
    <w:p w:rsidR="00CB51BF" w:rsidRPr="003373CA" w:rsidRDefault="00CB51BF" w:rsidP="00410CA0">
      <w:pPr>
        <w:widowControl w:val="0"/>
        <w:tabs>
          <w:tab w:val="left" w:pos="2820"/>
        </w:tabs>
        <w:spacing w:before="120" w:after="120" w:line="360" w:lineRule="exact"/>
        <w:ind w:firstLine="567"/>
        <w:jc w:val="both"/>
        <w:rPr>
          <w:spacing w:val="2"/>
          <w:sz w:val="28"/>
          <w:szCs w:val="28"/>
          <w:lang w:val="vi-VN"/>
        </w:rPr>
      </w:pPr>
      <w:r w:rsidRPr="00A23EE8">
        <w:rPr>
          <w:spacing w:val="2"/>
          <w:sz w:val="28"/>
          <w:szCs w:val="28"/>
          <w:lang w:val="vi-VN"/>
        </w:rPr>
        <w:t>+ Những nội dung, quy định dẫn đến hiện tượng có nhiều vi phạm pháp luật nghiêm trọng</w:t>
      </w:r>
      <w:r w:rsidRPr="003373CA">
        <w:rPr>
          <w:spacing w:val="2"/>
          <w:sz w:val="28"/>
          <w:szCs w:val="28"/>
          <w:lang w:val="vi-VN"/>
        </w:rPr>
        <w:t>;</w:t>
      </w:r>
    </w:p>
    <w:p w:rsidR="00CB51BF" w:rsidRPr="00A23EE8" w:rsidRDefault="00CB51BF" w:rsidP="00410CA0">
      <w:pPr>
        <w:widowControl w:val="0"/>
        <w:tabs>
          <w:tab w:val="left" w:pos="2820"/>
        </w:tabs>
        <w:spacing w:before="120" w:after="120" w:line="360" w:lineRule="exact"/>
        <w:ind w:firstLine="567"/>
        <w:jc w:val="both"/>
        <w:rPr>
          <w:spacing w:val="2"/>
          <w:sz w:val="28"/>
          <w:szCs w:val="28"/>
          <w:lang w:val="vi-VN"/>
        </w:rPr>
      </w:pPr>
      <w:r w:rsidRPr="00A23EE8">
        <w:rPr>
          <w:spacing w:val="2"/>
          <w:sz w:val="28"/>
          <w:szCs w:val="28"/>
          <w:lang w:val="vi-VN"/>
        </w:rPr>
        <w:t>+ Đề xuất biện pháp xử lý đối với từng nội dung, quy định cụ thể.</w:t>
      </w:r>
    </w:p>
    <w:p w:rsidR="00CB51BF" w:rsidRPr="00410CA0" w:rsidRDefault="00CB51BF" w:rsidP="00410CA0">
      <w:pPr>
        <w:widowControl w:val="0"/>
        <w:tabs>
          <w:tab w:val="left" w:pos="1440"/>
        </w:tabs>
        <w:spacing w:before="120" w:after="120" w:line="360" w:lineRule="exact"/>
        <w:ind w:firstLine="567"/>
        <w:jc w:val="both"/>
        <w:rPr>
          <w:spacing w:val="2"/>
          <w:sz w:val="28"/>
          <w:szCs w:val="28"/>
          <w:lang w:val="vi-VN"/>
        </w:rPr>
      </w:pPr>
      <w:r w:rsidRPr="00A23EE8">
        <w:rPr>
          <w:spacing w:val="2"/>
          <w:sz w:val="28"/>
          <w:szCs w:val="28"/>
          <w:lang w:val="vi-VN"/>
        </w:rPr>
        <w:t>- Đánh giá những vi phạm pháp luật điển hình</w:t>
      </w:r>
      <w:r w:rsidRPr="00410CA0">
        <w:rPr>
          <w:spacing w:val="2"/>
          <w:sz w:val="28"/>
          <w:szCs w:val="28"/>
          <w:lang w:val="vi-VN"/>
        </w:rPr>
        <w:t>:</w:t>
      </w:r>
    </w:p>
    <w:p w:rsidR="00CB51BF" w:rsidRPr="003373CA" w:rsidRDefault="00CB51BF" w:rsidP="00410CA0">
      <w:pPr>
        <w:pStyle w:val="ThngthngWeb"/>
        <w:spacing w:before="120" w:beforeAutospacing="0" w:after="120" w:afterAutospacing="0" w:line="360" w:lineRule="exact"/>
        <w:ind w:firstLine="567"/>
        <w:jc w:val="both"/>
        <w:rPr>
          <w:sz w:val="28"/>
          <w:szCs w:val="28"/>
          <w:lang w:val="vi-VN"/>
        </w:rPr>
      </w:pPr>
      <w:r w:rsidRPr="00A23EE8">
        <w:rPr>
          <w:spacing w:val="2"/>
          <w:sz w:val="28"/>
          <w:szCs w:val="28"/>
          <w:lang w:val="vi-VN"/>
        </w:rPr>
        <w:t>+ Lập danh mục những vi phạm pháp luật điển hình từ phía tổ chức, cá nhân</w:t>
      </w:r>
      <w:r w:rsidRPr="00A23EE8">
        <w:rPr>
          <w:sz w:val="28"/>
          <w:szCs w:val="28"/>
          <w:lang w:val="vi-VN"/>
        </w:rPr>
        <w:t xml:space="preserve"> đối với các chủ thể: cá nhân, tổ chức, doanh nghiệp vi phạm; </w:t>
      </w:r>
      <w:r w:rsidRPr="003373CA">
        <w:rPr>
          <w:sz w:val="28"/>
          <w:szCs w:val="28"/>
          <w:lang w:val="vi-VN"/>
        </w:rPr>
        <w:t>cán bộ, công chức</w:t>
      </w:r>
      <w:r>
        <w:rPr>
          <w:sz w:val="28"/>
          <w:szCs w:val="28"/>
          <w:lang w:val="vi-VN"/>
        </w:rPr>
        <w:t>...</w:t>
      </w:r>
      <w:r w:rsidRPr="003373CA">
        <w:rPr>
          <w:sz w:val="28"/>
          <w:szCs w:val="28"/>
          <w:lang w:val="vi-VN"/>
        </w:rPr>
        <w:t>;</w:t>
      </w:r>
    </w:p>
    <w:p w:rsidR="00CB51BF" w:rsidRPr="00410CA0" w:rsidRDefault="00CB51BF" w:rsidP="00410CA0">
      <w:pPr>
        <w:widowControl w:val="0"/>
        <w:tabs>
          <w:tab w:val="left" w:pos="1440"/>
        </w:tabs>
        <w:spacing w:before="120" w:after="120" w:line="360" w:lineRule="exact"/>
        <w:ind w:firstLine="567"/>
        <w:jc w:val="both"/>
        <w:rPr>
          <w:spacing w:val="2"/>
          <w:sz w:val="28"/>
          <w:szCs w:val="28"/>
          <w:lang w:val="vi-VN"/>
        </w:rPr>
      </w:pPr>
      <w:r w:rsidRPr="00A23EE8">
        <w:rPr>
          <w:spacing w:val="2"/>
          <w:sz w:val="28"/>
          <w:szCs w:val="28"/>
          <w:lang w:val="vi-VN"/>
        </w:rPr>
        <w:t xml:space="preserve">+ Nguyên nhân </w:t>
      </w:r>
      <w:r w:rsidRPr="00410CA0">
        <w:rPr>
          <w:spacing w:val="2"/>
          <w:sz w:val="28"/>
          <w:szCs w:val="28"/>
          <w:lang w:val="vi-VN"/>
        </w:rPr>
        <w:t xml:space="preserve">chủ yếu của tình hình </w:t>
      </w:r>
      <w:r w:rsidRPr="00A23EE8">
        <w:rPr>
          <w:spacing w:val="2"/>
          <w:sz w:val="28"/>
          <w:szCs w:val="28"/>
          <w:lang w:val="vi-VN"/>
        </w:rPr>
        <w:t>vi phạm</w:t>
      </w:r>
      <w:r w:rsidRPr="00410CA0">
        <w:rPr>
          <w:spacing w:val="2"/>
          <w:sz w:val="28"/>
          <w:szCs w:val="28"/>
          <w:lang w:val="vi-VN"/>
        </w:rPr>
        <w:t xml:space="preserve"> pháp luật</w:t>
      </w:r>
      <w:r w:rsidRPr="003373CA">
        <w:rPr>
          <w:spacing w:val="2"/>
          <w:sz w:val="28"/>
          <w:szCs w:val="28"/>
          <w:lang w:val="vi-VN"/>
        </w:rPr>
        <w:t>.</w:t>
      </w:r>
    </w:p>
    <w:p w:rsidR="00CB51BF" w:rsidRPr="00410CA0" w:rsidRDefault="00CB51BF" w:rsidP="00410CA0">
      <w:pPr>
        <w:widowControl w:val="0"/>
        <w:tabs>
          <w:tab w:val="left" w:pos="1440"/>
        </w:tabs>
        <w:spacing w:before="120" w:after="120" w:line="360" w:lineRule="exact"/>
        <w:ind w:firstLine="567"/>
        <w:jc w:val="both"/>
        <w:rPr>
          <w:b/>
          <w:i/>
          <w:spacing w:val="2"/>
          <w:sz w:val="28"/>
          <w:szCs w:val="28"/>
          <w:lang w:val="vi-VN"/>
        </w:rPr>
      </w:pPr>
      <w:r w:rsidRPr="00410CA0">
        <w:rPr>
          <w:b/>
          <w:i/>
          <w:spacing w:val="2"/>
          <w:sz w:val="28"/>
          <w:szCs w:val="28"/>
          <w:lang w:val="vi-VN"/>
        </w:rPr>
        <w:t>3</w:t>
      </w:r>
      <w:r w:rsidRPr="00A23EE8">
        <w:rPr>
          <w:b/>
          <w:i/>
          <w:spacing w:val="2"/>
          <w:sz w:val="28"/>
          <w:szCs w:val="28"/>
          <w:lang w:val="vi-VN"/>
        </w:rPr>
        <w:t>.</w:t>
      </w:r>
      <w:r w:rsidRPr="003373CA">
        <w:rPr>
          <w:b/>
          <w:i/>
          <w:spacing w:val="2"/>
          <w:sz w:val="28"/>
          <w:szCs w:val="28"/>
          <w:lang w:val="vi-VN"/>
        </w:rPr>
        <w:t>2</w:t>
      </w:r>
      <w:r w:rsidRPr="00A23EE8">
        <w:rPr>
          <w:b/>
          <w:i/>
          <w:spacing w:val="2"/>
          <w:sz w:val="28"/>
          <w:szCs w:val="28"/>
          <w:lang w:val="vi-VN"/>
        </w:rPr>
        <w:t>. Đánh giá chung về tình hình tuân thủ và áp dụng các quy định của</w:t>
      </w:r>
      <w:r w:rsidRPr="003373CA">
        <w:rPr>
          <w:b/>
          <w:i/>
          <w:spacing w:val="2"/>
          <w:sz w:val="28"/>
          <w:szCs w:val="28"/>
          <w:lang w:val="vi-VN"/>
        </w:rPr>
        <w:t xml:space="preserve"> pháp</w:t>
      </w:r>
      <w:r w:rsidRPr="00A23EE8">
        <w:rPr>
          <w:b/>
          <w:i/>
          <w:spacing w:val="2"/>
          <w:sz w:val="28"/>
          <w:szCs w:val="28"/>
          <w:lang w:val="vi-VN"/>
        </w:rPr>
        <w:t xml:space="preserve"> luật </w:t>
      </w:r>
      <w:r w:rsidRPr="00410CA0">
        <w:rPr>
          <w:b/>
          <w:i/>
          <w:spacing w:val="2"/>
          <w:sz w:val="28"/>
          <w:szCs w:val="28"/>
          <w:lang w:val="vi-VN"/>
        </w:rPr>
        <w:t>về hỗ trợ doanh nghiệp khởi nghiệp</w:t>
      </w:r>
    </w:p>
    <w:p w:rsidR="00CB51BF" w:rsidRPr="00A23EE8" w:rsidRDefault="00CB51BF" w:rsidP="00410CA0">
      <w:pPr>
        <w:spacing w:before="120" w:after="120" w:line="360" w:lineRule="exact"/>
        <w:ind w:firstLine="567"/>
        <w:jc w:val="both"/>
        <w:rPr>
          <w:b/>
          <w:sz w:val="28"/>
          <w:szCs w:val="28"/>
          <w:lang w:val="vi-VN"/>
        </w:rPr>
      </w:pPr>
      <w:r w:rsidRPr="00A23EE8">
        <w:rPr>
          <w:b/>
          <w:sz w:val="28"/>
          <w:szCs w:val="28"/>
          <w:lang w:val="vi-VN"/>
        </w:rPr>
        <w:t>III. TỒN TẠI, HẠN CHẾ VÀ NGUYÊN NHÂN</w:t>
      </w:r>
    </w:p>
    <w:p w:rsidR="00CB51BF" w:rsidRPr="00A23EE8" w:rsidRDefault="00CB51BF" w:rsidP="00410CA0">
      <w:pPr>
        <w:numPr>
          <w:ilvl w:val="0"/>
          <w:numId w:val="1"/>
        </w:numPr>
        <w:spacing w:before="120" w:after="120" w:line="360" w:lineRule="exact"/>
        <w:ind w:left="0" w:firstLine="567"/>
        <w:jc w:val="both"/>
        <w:rPr>
          <w:b/>
          <w:sz w:val="28"/>
          <w:szCs w:val="28"/>
        </w:rPr>
      </w:pPr>
      <w:r w:rsidRPr="00A23EE8">
        <w:rPr>
          <w:b/>
          <w:sz w:val="28"/>
          <w:szCs w:val="28"/>
        </w:rPr>
        <w:t>Tồn tại, hạn chế</w:t>
      </w:r>
    </w:p>
    <w:p w:rsidR="00CB51BF" w:rsidRPr="00A23EE8" w:rsidRDefault="00CB51BF" w:rsidP="00410CA0">
      <w:pPr>
        <w:numPr>
          <w:ilvl w:val="0"/>
          <w:numId w:val="1"/>
        </w:numPr>
        <w:spacing w:before="120" w:after="120" w:line="360" w:lineRule="exact"/>
        <w:ind w:left="0" w:firstLine="567"/>
        <w:jc w:val="both"/>
        <w:rPr>
          <w:b/>
          <w:sz w:val="28"/>
          <w:szCs w:val="28"/>
        </w:rPr>
      </w:pPr>
      <w:r w:rsidRPr="00A23EE8">
        <w:rPr>
          <w:b/>
          <w:sz w:val="28"/>
          <w:szCs w:val="28"/>
        </w:rPr>
        <w:t>Nguyên nhân của những tồn tại, hạn chế (xuất phát từ nội dung của văn bản quy phạm pháp luật, công tác tổ chức thi hành, ý thức chấp hành pháp luật của tổ chức, cá nhân)</w:t>
      </w:r>
    </w:p>
    <w:p w:rsidR="00CB51BF" w:rsidRPr="00A23EE8" w:rsidRDefault="00CB51BF" w:rsidP="00410CA0">
      <w:pPr>
        <w:numPr>
          <w:ilvl w:val="7"/>
          <w:numId w:val="1"/>
        </w:numPr>
        <w:spacing w:before="120" w:after="120" w:line="360" w:lineRule="exact"/>
        <w:ind w:firstLine="567"/>
        <w:rPr>
          <w:sz w:val="28"/>
          <w:szCs w:val="28"/>
        </w:rPr>
      </w:pPr>
      <w:r w:rsidRPr="00A23EE8">
        <w:rPr>
          <w:sz w:val="28"/>
          <w:szCs w:val="28"/>
        </w:rPr>
        <w:t xml:space="preserve">     a) Nguyên nhân khách quan</w:t>
      </w:r>
    </w:p>
    <w:p w:rsidR="00CB51BF" w:rsidRPr="00A23EE8" w:rsidRDefault="00CB51BF" w:rsidP="00410CA0">
      <w:pPr>
        <w:numPr>
          <w:ilvl w:val="1"/>
          <w:numId w:val="1"/>
        </w:numPr>
        <w:spacing w:before="120" w:after="120" w:line="360" w:lineRule="exact"/>
        <w:ind w:firstLine="567"/>
        <w:rPr>
          <w:sz w:val="28"/>
          <w:szCs w:val="28"/>
        </w:rPr>
      </w:pPr>
      <w:r w:rsidRPr="00A23EE8">
        <w:rPr>
          <w:sz w:val="28"/>
          <w:szCs w:val="28"/>
        </w:rPr>
        <w:t xml:space="preserve">     b) Nguyên nhân chủ quan</w:t>
      </w:r>
    </w:p>
    <w:p w:rsidR="00CB51BF" w:rsidRPr="00A23EE8" w:rsidRDefault="00CB51BF" w:rsidP="00410CA0">
      <w:pPr>
        <w:spacing w:before="120" w:after="120" w:line="360" w:lineRule="exact"/>
        <w:ind w:firstLine="567"/>
        <w:jc w:val="both"/>
        <w:rPr>
          <w:b/>
          <w:sz w:val="28"/>
          <w:szCs w:val="28"/>
          <w:lang w:val="vi-VN"/>
        </w:rPr>
      </w:pPr>
      <w:r w:rsidRPr="00A23EE8">
        <w:rPr>
          <w:b/>
          <w:sz w:val="28"/>
          <w:szCs w:val="28"/>
          <w:lang w:val="vi-VN"/>
        </w:rPr>
        <w:t>I</w:t>
      </w:r>
      <w:r w:rsidRPr="00A23EE8">
        <w:rPr>
          <w:b/>
          <w:sz w:val="28"/>
          <w:szCs w:val="28"/>
        </w:rPr>
        <w:t>V</w:t>
      </w:r>
      <w:r w:rsidRPr="00A23EE8">
        <w:rPr>
          <w:b/>
          <w:sz w:val="28"/>
          <w:szCs w:val="28"/>
          <w:lang w:val="vi-VN"/>
        </w:rPr>
        <w:t xml:space="preserve">. GIẢI PHÁP </w:t>
      </w:r>
      <w:r w:rsidRPr="00A23EE8">
        <w:rPr>
          <w:b/>
          <w:sz w:val="28"/>
          <w:szCs w:val="28"/>
        </w:rPr>
        <w:t>VÀ</w:t>
      </w:r>
      <w:r w:rsidRPr="00A23EE8">
        <w:rPr>
          <w:b/>
          <w:sz w:val="28"/>
          <w:szCs w:val="28"/>
          <w:lang w:val="vi-VN"/>
        </w:rPr>
        <w:t xml:space="preserve"> ĐỀ XUẤT, KIẾN NGHỊ</w:t>
      </w:r>
    </w:p>
    <w:p w:rsidR="00CB51BF" w:rsidRDefault="00CB51BF" w:rsidP="00410CA0">
      <w:pPr>
        <w:numPr>
          <w:ilvl w:val="0"/>
          <w:numId w:val="2"/>
        </w:numPr>
        <w:spacing w:before="120" w:after="120" w:line="360" w:lineRule="exact"/>
        <w:ind w:left="0" w:firstLine="567"/>
        <w:jc w:val="both"/>
        <w:rPr>
          <w:b/>
          <w:sz w:val="28"/>
          <w:szCs w:val="28"/>
        </w:rPr>
      </w:pPr>
      <w:r>
        <w:rPr>
          <w:b/>
          <w:sz w:val="28"/>
          <w:szCs w:val="28"/>
          <w:lang w:val="vi-VN"/>
        </w:rPr>
        <w:t>Giải pháp</w:t>
      </w:r>
    </w:p>
    <w:p w:rsidR="00CB51BF" w:rsidRDefault="00CB51BF" w:rsidP="00410CA0">
      <w:pPr>
        <w:numPr>
          <w:ilvl w:val="0"/>
          <w:numId w:val="3"/>
        </w:numPr>
        <w:spacing w:before="120" w:after="120" w:line="360" w:lineRule="exact"/>
        <w:ind w:left="0" w:firstLine="567"/>
        <w:jc w:val="both"/>
        <w:rPr>
          <w:sz w:val="28"/>
          <w:szCs w:val="28"/>
        </w:rPr>
      </w:pPr>
      <w:r>
        <w:rPr>
          <w:sz w:val="28"/>
          <w:szCs w:val="28"/>
        </w:rPr>
        <w:t>Ho</w:t>
      </w:r>
      <w:r w:rsidRPr="00554282">
        <w:rPr>
          <w:sz w:val="28"/>
          <w:szCs w:val="28"/>
        </w:rPr>
        <w:t>àn</w:t>
      </w:r>
      <w:r>
        <w:rPr>
          <w:sz w:val="28"/>
          <w:szCs w:val="28"/>
        </w:rPr>
        <w:t xml:space="preserve"> thi</w:t>
      </w:r>
      <w:r w:rsidRPr="00554282">
        <w:rPr>
          <w:sz w:val="28"/>
          <w:szCs w:val="28"/>
        </w:rPr>
        <w:t>ện</w:t>
      </w:r>
      <w:r>
        <w:rPr>
          <w:sz w:val="28"/>
          <w:szCs w:val="28"/>
        </w:rPr>
        <w:t xml:space="preserve"> th</w:t>
      </w:r>
      <w:r w:rsidRPr="00554282">
        <w:rPr>
          <w:sz w:val="28"/>
          <w:szCs w:val="28"/>
        </w:rPr>
        <w:t>ể</w:t>
      </w:r>
      <w:r>
        <w:rPr>
          <w:sz w:val="28"/>
          <w:szCs w:val="28"/>
        </w:rPr>
        <w:t xml:space="preserve"> ch</w:t>
      </w:r>
      <w:r w:rsidRPr="00554282">
        <w:rPr>
          <w:sz w:val="28"/>
          <w:szCs w:val="28"/>
        </w:rPr>
        <w:t>ế</w:t>
      </w:r>
      <w:r>
        <w:rPr>
          <w:sz w:val="28"/>
          <w:szCs w:val="28"/>
        </w:rPr>
        <w:t>, ph</w:t>
      </w:r>
      <w:r w:rsidRPr="00554282">
        <w:rPr>
          <w:sz w:val="28"/>
          <w:szCs w:val="28"/>
        </w:rPr>
        <w:t>áp</w:t>
      </w:r>
      <w:r>
        <w:rPr>
          <w:sz w:val="28"/>
          <w:szCs w:val="28"/>
        </w:rPr>
        <w:t xml:space="preserve"> lu</w:t>
      </w:r>
      <w:r w:rsidRPr="00554282">
        <w:rPr>
          <w:sz w:val="28"/>
          <w:szCs w:val="28"/>
        </w:rPr>
        <w:t>ật</w:t>
      </w:r>
    </w:p>
    <w:p w:rsidR="00CB51BF" w:rsidRPr="00554282" w:rsidRDefault="00CB51BF" w:rsidP="00410CA0">
      <w:pPr>
        <w:numPr>
          <w:ilvl w:val="0"/>
          <w:numId w:val="3"/>
        </w:numPr>
        <w:spacing w:before="120" w:after="120" w:line="360" w:lineRule="exact"/>
        <w:ind w:left="0" w:firstLine="567"/>
        <w:jc w:val="both"/>
        <w:rPr>
          <w:sz w:val="28"/>
          <w:szCs w:val="28"/>
        </w:rPr>
      </w:pPr>
      <w:r>
        <w:rPr>
          <w:sz w:val="28"/>
          <w:szCs w:val="28"/>
        </w:rPr>
        <w:t>C</w:t>
      </w:r>
      <w:r w:rsidRPr="00554282">
        <w:rPr>
          <w:sz w:val="28"/>
          <w:szCs w:val="28"/>
        </w:rPr>
        <w:t>ác</w:t>
      </w:r>
      <w:r>
        <w:rPr>
          <w:sz w:val="28"/>
          <w:szCs w:val="28"/>
        </w:rPr>
        <w:t xml:space="preserve"> </w:t>
      </w:r>
      <w:r w:rsidRPr="00554282">
        <w:rPr>
          <w:sz w:val="28"/>
          <w:szCs w:val="28"/>
        </w:rPr>
        <w:t>đ</w:t>
      </w:r>
      <w:r>
        <w:rPr>
          <w:sz w:val="28"/>
          <w:szCs w:val="28"/>
        </w:rPr>
        <w:t>i</w:t>
      </w:r>
      <w:r w:rsidRPr="00554282">
        <w:rPr>
          <w:sz w:val="28"/>
          <w:szCs w:val="28"/>
        </w:rPr>
        <w:t>ều</w:t>
      </w:r>
      <w:r>
        <w:rPr>
          <w:sz w:val="28"/>
          <w:szCs w:val="28"/>
        </w:rPr>
        <w:t xml:space="preserve"> ki</w:t>
      </w:r>
      <w:r w:rsidRPr="00554282">
        <w:rPr>
          <w:sz w:val="28"/>
          <w:szCs w:val="28"/>
        </w:rPr>
        <w:t>ện</w:t>
      </w:r>
      <w:r>
        <w:rPr>
          <w:sz w:val="28"/>
          <w:szCs w:val="28"/>
        </w:rPr>
        <w:t xml:space="preserve"> b</w:t>
      </w:r>
      <w:r w:rsidRPr="00554282">
        <w:rPr>
          <w:sz w:val="28"/>
          <w:szCs w:val="28"/>
        </w:rPr>
        <w:t>ảo</w:t>
      </w:r>
      <w:r>
        <w:rPr>
          <w:sz w:val="28"/>
          <w:szCs w:val="28"/>
        </w:rPr>
        <w:t xml:space="preserve"> </w:t>
      </w:r>
      <w:r w:rsidRPr="00554282">
        <w:rPr>
          <w:sz w:val="28"/>
          <w:szCs w:val="28"/>
        </w:rPr>
        <w:t>đảm</w:t>
      </w:r>
    </w:p>
    <w:p w:rsidR="00CB51BF" w:rsidRPr="00A23EE8" w:rsidRDefault="00CB51BF" w:rsidP="00410CA0">
      <w:pPr>
        <w:spacing w:before="120" w:after="120" w:line="360" w:lineRule="exact"/>
        <w:ind w:firstLine="567"/>
        <w:jc w:val="both"/>
        <w:rPr>
          <w:b/>
          <w:sz w:val="28"/>
          <w:szCs w:val="28"/>
          <w:lang w:val="vi-VN"/>
        </w:rPr>
      </w:pPr>
      <w:r w:rsidRPr="00A23EE8">
        <w:rPr>
          <w:b/>
          <w:sz w:val="28"/>
          <w:szCs w:val="28"/>
          <w:lang w:val="vi-VN"/>
        </w:rPr>
        <w:t>2. Đề xuất, kiến nghị</w:t>
      </w:r>
    </w:p>
    <w:p w:rsidR="00CB51BF" w:rsidRPr="00A23EE8" w:rsidRDefault="00CB51BF" w:rsidP="00410CA0">
      <w:pPr>
        <w:spacing w:before="120" w:after="120" w:line="360" w:lineRule="exact"/>
        <w:ind w:firstLine="567"/>
        <w:jc w:val="both"/>
        <w:rPr>
          <w:sz w:val="28"/>
          <w:szCs w:val="28"/>
          <w:lang w:val="vi-VN"/>
        </w:rPr>
      </w:pPr>
      <w:r w:rsidRPr="00A23EE8">
        <w:rPr>
          <w:sz w:val="28"/>
          <w:szCs w:val="28"/>
          <w:lang w:val="vi-VN"/>
        </w:rPr>
        <w:t>a) Đối với Chính phủ</w:t>
      </w:r>
    </w:p>
    <w:p w:rsidR="00CB51BF" w:rsidRPr="00A23EE8" w:rsidRDefault="00CB51BF" w:rsidP="00410CA0">
      <w:pPr>
        <w:spacing w:before="120" w:after="120" w:line="360" w:lineRule="exact"/>
        <w:ind w:firstLine="567"/>
        <w:jc w:val="both"/>
        <w:rPr>
          <w:sz w:val="28"/>
          <w:szCs w:val="28"/>
          <w:lang w:val="vi-VN"/>
        </w:rPr>
      </w:pPr>
      <w:r w:rsidRPr="00A23EE8">
        <w:rPr>
          <w:sz w:val="28"/>
          <w:szCs w:val="28"/>
          <w:lang w:val="vi-VN"/>
        </w:rPr>
        <w:t>b) Đối với các Bộ, ngành</w:t>
      </w:r>
    </w:p>
    <w:p w:rsidR="00CB51BF" w:rsidRPr="00410CA0" w:rsidRDefault="00CB51BF" w:rsidP="00410CA0">
      <w:pPr>
        <w:spacing w:before="120" w:after="120" w:line="360" w:lineRule="exact"/>
        <w:ind w:firstLine="567"/>
        <w:jc w:val="both"/>
        <w:rPr>
          <w:sz w:val="28"/>
          <w:szCs w:val="28"/>
          <w:lang w:val="vi-VN"/>
        </w:rPr>
      </w:pPr>
      <w:r w:rsidRPr="00A23EE8">
        <w:rPr>
          <w:sz w:val="28"/>
          <w:szCs w:val="28"/>
          <w:lang w:val="vi-VN"/>
        </w:rPr>
        <w:t>c) Đối với các địa phương</w:t>
      </w:r>
    </w:p>
    <w:bookmarkEnd w:id="0"/>
    <w:p w:rsidR="00CB51BF" w:rsidRPr="00410CA0" w:rsidRDefault="00CB51BF" w:rsidP="00CB51BF">
      <w:pPr>
        <w:rPr>
          <w:lang w:val="vi-VN"/>
        </w:rPr>
      </w:pPr>
    </w:p>
    <w:p w:rsidR="00CB51BF" w:rsidRPr="00410CA0" w:rsidRDefault="00CB51BF" w:rsidP="00CB51BF">
      <w:pPr>
        <w:rPr>
          <w:lang w:val="vi-VN"/>
        </w:rPr>
      </w:pPr>
    </w:p>
    <w:p w:rsidR="00D1510A" w:rsidRPr="00410CA0" w:rsidRDefault="00D1510A">
      <w:pPr>
        <w:rPr>
          <w:lang w:val="vi-VN"/>
        </w:rPr>
      </w:pPr>
    </w:p>
    <w:sectPr w:rsidR="00D1510A" w:rsidRPr="00410CA0" w:rsidSect="00407551">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497" w:rsidRDefault="00284497" w:rsidP="00CB51BF">
      <w:r>
        <w:separator/>
      </w:r>
    </w:p>
  </w:endnote>
  <w:endnote w:type="continuationSeparator" w:id="0">
    <w:p w:rsidR="00284497" w:rsidRDefault="00284497" w:rsidP="00C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497" w:rsidRDefault="00284497" w:rsidP="00CB51BF">
      <w:r>
        <w:separator/>
      </w:r>
    </w:p>
  </w:footnote>
  <w:footnote w:type="continuationSeparator" w:id="0">
    <w:p w:rsidR="00284497" w:rsidRDefault="00284497" w:rsidP="00CB51BF">
      <w:r>
        <w:continuationSeparator/>
      </w:r>
    </w:p>
  </w:footnote>
  <w:footnote w:id="1">
    <w:p w:rsidR="00CB51BF" w:rsidRPr="00410CA0" w:rsidRDefault="00CB51BF" w:rsidP="00CB51BF">
      <w:pPr>
        <w:pStyle w:val="VnbanCcchu"/>
        <w:jc w:val="both"/>
      </w:pPr>
      <w:r w:rsidRPr="00410CA0">
        <w:rPr>
          <w:rStyle w:val="ThamchiuCcchu"/>
        </w:rPr>
        <w:footnoteRef/>
      </w:r>
      <w:r w:rsidRPr="00410CA0">
        <w:t xml:space="preserve"> Lưu ý: Đề cương này áp dụng cho các tỉnh, thành phố trực thuộc Trung ương đã lựa chọn và tổ chức theo dõi tình hình thi hành pháp luật về hỗ trợ doanh nghiệp khởi nghiệp cho năm 2017 để báo cáo cùng với nội dung theo dõi tình hình thi hành pháp luật nói chung theo mẫu đề cương quy định tại TT số 10/2015/TT-BTP. Đối với những tỉnh, thành phố không lựa chọn theo dõi lĩnh vực nêu trên thì xây dựng báo cáo theo mẫu đề cương của Thông tư 10/2015/TT-BTP, trong đó có nội dung về lĩnh vực trọng tâm do địa phương lựa chọn.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2110E"/>
    <w:multiLevelType w:val="hybridMultilevel"/>
    <w:tmpl w:val="92A096DA"/>
    <w:lvl w:ilvl="0" w:tplc="A16E6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B678F5"/>
    <w:multiLevelType w:val="hybridMultilevel"/>
    <w:tmpl w:val="13DA1994"/>
    <w:lvl w:ilvl="0" w:tplc="BCE052F8">
      <w:start w:val="1"/>
      <w:numFmt w:val="decimal"/>
      <w:lvlText w:val="%1."/>
      <w:lvlJc w:val="left"/>
      <w:pPr>
        <w:tabs>
          <w:tab w:val="num" w:pos="1080"/>
        </w:tabs>
        <w:ind w:left="1080" w:hanging="360"/>
      </w:pPr>
      <w:rPr>
        <w:rFonts w:hint="default"/>
      </w:rPr>
    </w:lvl>
    <w:lvl w:ilvl="1" w:tplc="7876EB4C">
      <w:numFmt w:val="none"/>
      <w:lvlText w:val=""/>
      <w:lvlJc w:val="left"/>
      <w:pPr>
        <w:tabs>
          <w:tab w:val="num" w:pos="360"/>
        </w:tabs>
      </w:pPr>
    </w:lvl>
    <w:lvl w:ilvl="2" w:tplc="6A9EB5A2">
      <w:numFmt w:val="none"/>
      <w:lvlText w:val=""/>
      <w:lvlJc w:val="left"/>
      <w:pPr>
        <w:tabs>
          <w:tab w:val="num" w:pos="360"/>
        </w:tabs>
      </w:pPr>
    </w:lvl>
    <w:lvl w:ilvl="3" w:tplc="84D6ADB6">
      <w:numFmt w:val="none"/>
      <w:lvlText w:val=""/>
      <w:lvlJc w:val="left"/>
      <w:pPr>
        <w:tabs>
          <w:tab w:val="num" w:pos="360"/>
        </w:tabs>
      </w:pPr>
    </w:lvl>
    <w:lvl w:ilvl="4" w:tplc="8C84129C">
      <w:numFmt w:val="none"/>
      <w:lvlText w:val=""/>
      <w:lvlJc w:val="left"/>
      <w:pPr>
        <w:tabs>
          <w:tab w:val="num" w:pos="360"/>
        </w:tabs>
      </w:pPr>
    </w:lvl>
    <w:lvl w:ilvl="5" w:tplc="2A0A1848">
      <w:numFmt w:val="none"/>
      <w:lvlText w:val=""/>
      <w:lvlJc w:val="left"/>
      <w:pPr>
        <w:tabs>
          <w:tab w:val="num" w:pos="360"/>
        </w:tabs>
      </w:pPr>
    </w:lvl>
    <w:lvl w:ilvl="6" w:tplc="03123410">
      <w:numFmt w:val="none"/>
      <w:lvlText w:val=""/>
      <w:lvlJc w:val="left"/>
      <w:pPr>
        <w:tabs>
          <w:tab w:val="num" w:pos="360"/>
        </w:tabs>
      </w:pPr>
    </w:lvl>
    <w:lvl w:ilvl="7" w:tplc="DA3CBE4E">
      <w:numFmt w:val="none"/>
      <w:lvlText w:val=""/>
      <w:lvlJc w:val="left"/>
      <w:pPr>
        <w:tabs>
          <w:tab w:val="num" w:pos="360"/>
        </w:tabs>
      </w:pPr>
    </w:lvl>
    <w:lvl w:ilvl="8" w:tplc="3DECE1A2">
      <w:numFmt w:val="none"/>
      <w:lvlText w:val=""/>
      <w:lvlJc w:val="left"/>
      <w:pPr>
        <w:tabs>
          <w:tab w:val="num" w:pos="360"/>
        </w:tabs>
      </w:pPr>
    </w:lvl>
  </w:abstractNum>
  <w:abstractNum w:abstractNumId="2" w15:restartNumberingAfterBreak="0">
    <w:nsid w:val="47902B23"/>
    <w:multiLevelType w:val="hybridMultilevel"/>
    <w:tmpl w:val="99DE7B50"/>
    <w:lvl w:ilvl="0" w:tplc="C1E87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BF"/>
    <w:rsid w:val="0007028F"/>
    <w:rsid w:val="001E4673"/>
    <w:rsid w:val="00244188"/>
    <w:rsid w:val="00284497"/>
    <w:rsid w:val="002D41D1"/>
    <w:rsid w:val="002D72C2"/>
    <w:rsid w:val="002E1029"/>
    <w:rsid w:val="00407551"/>
    <w:rsid w:val="00410CA0"/>
    <w:rsid w:val="005E2EEF"/>
    <w:rsid w:val="0087383A"/>
    <w:rsid w:val="00A64573"/>
    <w:rsid w:val="00C6773C"/>
    <w:rsid w:val="00CB51BF"/>
    <w:rsid w:val="00D1510A"/>
    <w:rsid w:val="00ED094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21020-AAB5-437D-8F74-F2DA297A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CB51BF"/>
    <w:rPr>
      <w:rFonts w:ascii="Times New Roman" w:eastAsia="Times New Roman" w:hAnsi="Times New Roman"/>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CB51BF"/>
    <w:pPr>
      <w:spacing w:before="100" w:beforeAutospacing="1" w:after="100" w:afterAutospacing="1"/>
    </w:pPr>
  </w:style>
  <w:style w:type="paragraph" w:styleId="VnbanCcchu">
    <w:name w:val="footnote text"/>
    <w:basedOn w:val="Binhthng"/>
    <w:link w:val="VnbanCcchuChar"/>
    <w:uiPriority w:val="99"/>
    <w:semiHidden/>
    <w:unhideWhenUsed/>
    <w:rsid w:val="00CB51BF"/>
    <w:rPr>
      <w:sz w:val="20"/>
      <w:szCs w:val="20"/>
    </w:rPr>
  </w:style>
  <w:style w:type="character" w:customStyle="1" w:styleId="VnbanCcchuChar">
    <w:name w:val="Văn bản Cước chú Char"/>
    <w:basedOn w:val="Phngmcinhcuaoanvn"/>
    <w:link w:val="VnbanCcchu"/>
    <w:uiPriority w:val="99"/>
    <w:semiHidden/>
    <w:rsid w:val="00CB51BF"/>
    <w:rPr>
      <w:rFonts w:ascii="Times New Roman" w:eastAsia="Times New Roman" w:hAnsi="Times New Roman" w:cs="Times New Roman"/>
      <w:sz w:val="20"/>
      <w:szCs w:val="20"/>
    </w:rPr>
  </w:style>
  <w:style w:type="character" w:styleId="ThamchiuCcchu">
    <w:name w:val="footnote reference"/>
    <w:basedOn w:val="Phngmcinhcuaoanvn"/>
    <w:uiPriority w:val="99"/>
    <w:semiHidden/>
    <w:unhideWhenUsed/>
    <w:rsid w:val="00CB5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1A5CA-F1F9-4AFE-AF17-9A25D78FBD09}">
  <ds:schemaRefs>
    <ds:schemaRef ds:uri="http://schemas.microsoft.com/sharepoint/v3/contenttype/forms"/>
  </ds:schemaRefs>
</ds:datastoreItem>
</file>

<file path=customXml/itemProps2.xml><?xml version="1.0" encoding="utf-8"?>
<ds:datastoreItem xmlns:ds="http://schemas.openxmlformats.org/officeDocument/2006/customXml" ds:itemID="{7ACA83CB-E14F-4C48-8109-1BBEF3A62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0F323D-C2B7-4201-9C47-A0875CB3B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3418</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Tuấn Quang</cp:lastModifiedBy>
  <cp:revision>2</cp:revision>
  <dcterms:created xsi:type="dcterms:W3CDTF">2017-09-06T23:54:00Z</dcterms:created>
  <dcterms:modified xsi:type="dcterms:W3CDTF">2017-09-06T23:54:00Z</dcterms:modified>
</cp:coreProperties>
</file>